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F1" w:rsidRPr="00EC0DD5" w:rsidRDefault="00855CF1" w:rsidP="00855CF1">
      <w:pPr>
        <w:keepNext/>
        <w:keepLines/>
        <w:ind w:firstLine="0"/>
        <w:jc w:val="center"/>
        <w:rPr>
          <w:b/>
          <w:sz w:val="28"/>
          <w:szCs w:val="28"/>
        </w:rPr>
      </w:pPr>
      <w:r w:rsidRPr="00EC0DD5">
        <w:rPr>
          <w:b/>
          <w:sz w:val="28"/>
          <w:szCs w:val="28"/>
        </w:rPr>
        <w:t>Краевое государственное автономное учреждение социального обслуживания</w:t>
      </w:r>
      <w:r>
        <w:rPr>
          <w:b/>
          <w:sz w:val="28"/>
          <w:szCs w:val="28"/>
        </w:rPr>
        <w:t xml:space="preserve"> </w:t>
      </w:r>
      <w:r w:rsidRPr="00EC0DD5">
        <w:rPr>
          <w:b/>
          <w:sz w:val="28"/>
          <w:szCs w:val="28"/>
        </w:rPr>
        <w:t xml:space="preserve"> «Краевой геронтологический центр «Тонус»</w:t>
      </w:r>
    </w:p>
    <w:p w:rsidR="00855CF1" w:rsidRDefault="00855CF1" w:rsidP="00855CF1"/>
    <w:p w:rsidR="00855CF1" w:rsidRDefault="00855CF1" w:rsidP="00855CF1"/>
    <w:p w:rsidR="00855CF1" w:rsidRPr="00F61814" w:rsidRDefault="00855CF1" w:rsidP="00855CF1">
      <w:pPr>
        <w:rPr>
          <w:sz w:val="28"/>
          <w:szCs w:val="28"/>
        </w:rPr>
      </w:pPr>
      <w:r w:rsidRPr="00F61814">
        <w:rPr>
          <w:sz w:val="28"/>
          <w:szCs w:val="28"/>
        </w:rPr>
        <w:t xml:space="preserve">30 декабря 2019 г.                             </w:t>
      </w:r>
      <w:r>
        <w:rPr>
          <w:sz w:val="28"/>
          <w:szCs w:val="28"/>
        </w:rPr>
        <w:t xml:space="preserve">                                        № 58-орг</w:t>
      </w:r>
    </w:p>
    <w:p w:rsidR="00855CF1" w:rsidRDefault="00855CF1" w:rsidP="00855CF1">
      <w:pPr>
        <w:spacing w:before="0" w:after="0" w:line="20" w:lineRule="atLeast"/>
      </w:pPr>
    </w:p>
    <w:p w:rsidR="00855CF1" w:rsidRDefault="00855CF1" w:rsidP="00855CF1">
      <w:pPr>
        <w:pStyle w:val="a3"/>
        <w:spacing w:before="0" w:after="0" w:line="20" w:lineRule="atLeast"/>
        <w:jc w:val="left"/>
        <w:rPr>
          <w:szCs w:val="28"/>
        </w:rPr>
      </w:pPr>
      <w:bookmarkStart w:id="0" w:name="_docStart_1"/>
      <w:bookmarkStart w:id="1" w:name="_title_1"/>
      <w:bookmarkStart w:id="2" w:name="_ref_537763"/>
      <w:bookmarkEnd w:id="0"/>
      <w:r>
        <w:rPr>
          <w:szCs w:val="28"/>
        </w:rPr>
        <w:t xml:space="preserve">                                                        </w:t>
      </w:r>
      <w:r w:rsidRPr="00EC0DD5">
        <w:rPr>
          <w:szCs w:val="28"/>
        </w:rPr>
        <w:t>Приказ</w:t>
      </w:r>
    </w:p>
    <w:p w:rsidR="00855CF1" w:rsidRDefault="00855CF1" w:rsidP="00855CF1">
      <w:pPr>
        <w:pStyle w:val="a3"/>
        <w:spacing w:before="0" w:after="0"/>
        <w:jc w:val="left"/>
        <w:rPr>
          <w:szCs w:val="28"/>
        </w:rPr>
      </w:pPr>
    </w:p>
    <w:p w:rsidR="00855CF1" w:rsidRDefault="00855CF1" w:rsidP="00855CF1">
      <w:pPr>
        <w:pStyle w:val="a3"/>
        <w:spacing w:before="0" w:after="0"/>
        <w:jc w:val="left"/>
        <w:rPr>
          <w:b w:val="0"/>
          <w:szCs w:val="28"/>
        </w:rPr>
      </w:pPr>
      <w:r w:rsidRPr="00EC0DD5">
        <w:rPr>
          <w:szCs w:val="28"/>
        </w:rPr>
        <w:br/>
      </w:r>
      <w:r w:rsidRPr="00881133">
        <w:rPr>
          <w:b w:val="0"/>
          <w:szCs w:val="28"/>
        </w:rPr>
        <w:t>о</w:t>
      </w:r>
      <w:r>
        <w:rPr>
          <w:b w:val="0"/>
          <w:szCs w:val="28"/>
        </w:rPr>
        <w:t xml:space="preserve"> внесении  дополнений </w:t>
      </w:r>
    </w:p>
    <w:p w:rsidR="00855CF1" w:rsidRDefault="00855CF1" w:rsidP="00855CF1">
      <w:pPr>
        <w:pStyle w:val="a3"/>
        <w:spacing w:before="0" w:after="0"/>
        <w:jc w:val="left"/>
        <w:rPr>
          <w:b w:val="0"/>
          <w:szCs w:val="28"/>
        </w:rPr>
      </w:pPr>
      <w:r>
        <w:rPr>
          <w:b w:val="0"/>
          <w:szCs w:val="28"/>
        </w:rPr>
        <w:t>в приказ от 27.12.2018 г. № 68-орг</w:t>
      </w:r>
    </w:p>
    <w:p w:rsidR="00855CF1" w:rsidRPr="00817CDB" w:rsidRDefault="00855CF1" w:rsidP="00855CF1">
      <w:pPr>
        <w:pStyle w:val="a3"/>
        <w:spacing w:before="0" w:after="0"/>
        <w:jc w:val="left"/>
        <w:rPr>
          <w:b w:val="0"/>
          <w:szCs w:val="28"/>
        </w:rPr>
      </w:pPr>
      <w:r>
        <w:rPr>
          <w:b w:val="0"/>
          <w:szCs w:val="28"/>
        </w:rPr>
        <w:t>«</w:t>
      </w:r>
      <w:proofErr w:type="gramStart"/>
      <w:r>
        <w:rPr>
          <w:b w:val="0"/>
          <w:szCs w:val="28"/>
        </w:rPr>
        <w:t>Об</w:t>
      </w:r>
      <w:proofErr w:type="gramEnd"/>
      <w:r>
        <w:rPr>
          <w:b w:val="0"/>
          <w:szCs w:val="28"/>
        </w:rPr>
        <w:t xml:space="preserve"> </w:t>
      </w:r>
      <w:proofErr w:type="gramStart"/>
      <w:r w:rsidRPr="00881133">
        <w:rPr>
          <w:b w:val="0"/>
          <w:szCs w:val="28"/>
        </w:rPr>
        <w:t>Учетной</w:t>
      </w:r>
      <w:proofErr w:type="gramEnd"/>
      <w:r w:rsidRPr="00881133">
        <w:rPr>
          <w:b w:val="0"/>
          <w:szCs w:val="28"/>
        </w:rPr>
        <w:t xml:space="preserve"> политики</w:t>
      </w:r>
      <w:r>
        <w:rPr>
          <w:b w:val="0"/>
          <w:szCs w:val="28"/>
        </w:rPr>
        <w:t xml:space="preserve"> </w:t>
      </w:r>
      <w:r w:rsidRPr="00817CDB">
        <w:rPr>
          <w:b w:val="0"/>
          <w:szCs w:val="28"/>
        </w:rPr>
        <w:t>КГЦ «Тонус»</w:t>
      </w:r>
      <w:r w:rsidRPr="00881133">
        <w:rPr>
          <w:szCs w:val="28"/>
        </w:rPr>
        <w:t xml:space="preserve"> </w:t>
      </w:r>
    </w:p>
    <w:p w:rsidR="00855CF1" w:rsidRPr="00881133" w:rsidRDefault="00855CF1" w:rsidP="00855CF1">
      <w:pPr>
        <w:pStyle w:val="a3"/>
        <w:spacing w:before="0" w:after="0"/>
        <w:jc w:val="left"/>
        <w:rPr>
          <w:b w:val="0"/>
          <w:szCs w:val="28"/>
        </w:rPr>
      </w:pPr>
      <w:r w:rsidRPr="00881133">
        <w:rPr>
          <w:b w:val="0"/>
          <w:szCs w:val="28"/>
        </w:rPr>
        <w:t>для целей бухгалтерского учета</w:t>
      </w:r>
      <w:bookmarkEnd w:id="1"/>
      <w:bookmarkEnd w:id="2"/>
    </w:p>
    <w:p w:rsidR="00855CF1" w:rsidRPr="00BC6D44" w:rsidRDefault="00855CF1" w:rsidP="00855CF1"/>
    <w:p w:rsidR="00855CF1" w:rsidRDefault="00855CF1" w:rsidP="00855CF1">
      <w:pPr>
        <w:spacing w:before="0" w:after="0" w:line="20" w:lineRule="atLeast"/>
        <w:rPr>
          <w:sz w:val="28"/>
          <w:szCs w:val="28"/>
        </w:rPr>
      </w:pPr>
      <w:r w:rsidRPr="00EC0DD5">
        <w:rPr>
          <w:sz w:val="28"/>
          <w:szCs w:val="28"/>
        </w:rPr>
        <w:t xml:space="preserve">В соответствии </w:t>
      </w:r>
      <w:r w:rsidRPr="00855CF1">
        <w:rPr>
          <w:sz w:val="28"/>
          <w:szCs w:val="28"/>
        </w:rPr>
        <w:t xml:space="preserve">с </w:t>
      </w:r>
      <w:hyperlink r:id="rId6" w:history="1">
        <w:r w:rsidRPr="00855CF1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855CF1">
        <w:rPr>
          <w:sz w:val="28"/>
          <w:szCs w:val="28"/>
        </w:rPr>
        <w:t xml:space="preserve"> от 06.12.2011 № 402-ФЗ, Федеральным </w:t>
      </w:r>
      <w:hyperlink r:id="rId7" w:history="1">
        <w:r w:rsidRPr="00855CF1">
          <w:rPr>
            <w:rStyle w:val="a5"/>
            <w:color w:val="auto"/>
            <w:sz w:val="28"/>
            <w:szCs w:val="28"/>
            <w:u w:val="none"/>
          </w:rPr>
          <w:t>стандарт</w:t>
        </w:r>
      </w:hyperlink>
      <w:r>
        <w:rPr>
          <w:sz w:val="28"/>
          <w:szCs w:val="28"/>
        </w:rPr>
        <w:t>ом</w:t>
      </w:r>
      <w:r w:rsidRPr="0067035F">
        <w:rPr>
          <w:sz w:val="28"/>
          <w:szCs w:val="28"/>
        </w:rPr>
        <w:t xml:space="preserve"> бухгалтерского учета для организаций государственного сектора "Учетная политика, оценочные значения и ошибки", утвержденный Приказом Минфина Росс</w:t>
      </w:r>
      <w:r>
        <w:rPr>
          <w:sz w:val="28"/>
          <w:szCs w:val="28"/>
        </w:rPr>
        <w:t>ии от 30.12.2017 № 274н,   приказом КГЦ «Тонус» от 27.12.2018 № 68-орг «Учетная политика КГЦ «Тонус»</w:t>
      </w:r>
    </w:p>
    <w:p w:rsidR="00855CF1" w:rsidRPr="0067035F" w:rsidRDefault="00855CF1" w:rsidP="00855CF1">
      <w:pPr>
        <w:spacing w:before="0"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1. Р</w:t>
      </w:r>
      <w:r w:rsidRPr="00EC0DD5">
        <w:rPr>
          <w:sz w:val="28"/>
          <w:szCs w:val="28"/>
        </w:rPr>
        <w:t>едакци</w:t>
      </w:r>
      <w:r>
        <w:rPr>
          <w:sz w:val="28"/>
          <w:szCs w:val="28"/>
        </w:rPr>
        <w:t>ю</w:t>
      </w:r>
      <w:r w:rsidRPr="00EC0DD5">
        <w:rPr>
          <w:sz w:val="28"/>
          <w:szCs w:val="28"/>
        </w:rPr>
        <w:t xml:space="preserve"> Учетной политики</w:t>
      </w:r>
      <w:r>
        <w:rPr>
          <w:sz w:val="28"/>
          <w:szCs w:val="28"/>
        </w:rPr>
        <w:t>,</w:t>
      </w:r>
      <w:r w:rsidRPr="00EC0DD5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 xml:space="preserve">емую КГЦ «Тонус»                 </w:t>
      </w:r>
      <w:r w:rsidRPr="00EC0DD5">
        <w:rPr>
          <w:sz w:val="28"/>
          <w:szCs w:val="28"/>
        </w:rPr>
        <w:t>с 1 января 2019 г.</w:t>
      </w:r>
      <w:r>
        <w:rPr>
          <w:sz w:val="28"/>
          <w:szCs w:val="28"/>
        </w:rPr>
        <w:t xml:space="preserve"> (приказ от 27.12.2018 г. №68-орг)</w:t>
      </w:r>
      <w:r w:rsidRPr="00EC0DD5">
        <w:rPr>
          <w:sz w:val="28"/>
          <w:szCs w:val="28"/>
        </w:rPr>
        <w:t> </w:t>
      </w:r>
      <w:r>
        <w:rPr>
          <w:sz w:val="28"/>
          <w:szCs w:val="28"/>
        </w:rPr>
        <w:t xml:space="preserve">с учетом внесенных в нее дополнений (приказ от 22.05.2019 №19/1-орг) применять с 01.01.2020 года </w:t>
      </w:r>
      <w:r w:rsidRPr="00EC0DD5">
        <w:rPr>
          <w:sz w:val="28"/>
          <w:szCs w:val="28"/>
        </w:rPr>
        <w:t>во все последующие отчетные пер</w:t>
      </w:r>
      <w:bookmarkStart w:id="3" w:name="_GoBack"/>
      <w:r w:rsidRPr="00EC0DD5">
        <w:rPr>
          <w:sz w:val="28"/>
          <w:szCs w:val="28"/>
        </w:rPr>
        <w:t>и</w:t>
      </w:r>
      <w:bookmarkEnd w:id="3"/>
      <w:r w:rsidRPr="00EC0DD5">
        <w:rPr>
          <w:sz w:val="28"/>
          <w:szCs w:val="28"/>
        </w:rPr>
        <w:t>оды с внесением в нее необходимых изменений и дополнений</w:t>
      </w:r>
    </w:p>
    <w:p w:rsidR="00855CF1" w:rsidRPr="00817CDB" w:rsidRDefault="00855CF1" w:rsidP="00855CF1">
      <w:pPr>
        <w:numPr>
          <w:ilvl w:val="0"/>
          <w:numId w:val="2"/>
        </w:numPr>
        <w:spacing w:before="0" w:after="0" w:line="240" w:lineRule="auto"/>
        <w:ind w:left="0" w:firstLine="851"/>
        <w:rPr>
          <w:rFonts w:ascii="Verdana" w:hAnsi="Verdana"/>
          <w:sz w:val="28"/>
          <w:szCs w:val="28"/>
        </w:rPr>
      </w:pPr>
      <w:r w:rsidRPr="00057E72">
        <w:rPr>
          <w:sz w:val="28"/>
          <w:szCs w:val="28"/>
        </w:rPr>
        <w:t xml:space="preserve">Дополнить раздел 1  «Организационные положения» Учетной политики КГЦ «Тонус» федеральными стандартами бухгалтерского учета, которые применяется при ведении  бухгалтерского учета </w:t>
      </w:r>
      <w:r w:rsidRPr="00817CDB">
        <w:rPr>
          <w:sz w:val="28"/>
          <w:szCs w:val="28"/>
        </w:rPr>
        <w:t>и составлении бухгалтерской  отчетности</w:t>
      </w:r>
      <w:r w:rsidRPr="00057E72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Pr="00057E72">
        <w:rPr>
          <w:sz w:val="28"/>
          <w:szCs w:val="28"/>
        </w:rPr>
        <w:t xml:space="preserve">  автономными </w:t>
      </w:r>
      <w:r w:rsidRPr="00817CDB">
        <w:rPr>
          <w:sz w:val="28"/>
          <w:szCs w:val="28"/>
        </w:rPr>
        <w:t>учреждениями</w:t>
      </w:r>
      <w:r>
        <w:rPr>
          <w:sz w:val="28"/>
          <w:szCs w:val="28"/>
        </w:rPr>
        <w:t>,</w:t>
      </w:r>
      <w:r w:rsidRPr="00817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начиная </w:t>
      </w:r>
      <w:r w:rsidRPr="00817CDB">
        <w:rPr>
          <w:sz w:val="28"/>
          <w:szCs w:val="28"/>
        </w:rPr>
        <w:t>с 1 января 2020 года:</w:t>
      </w:r>
    </w:p>
    <w:p w:rsidR="00855CF1" w:rsidRPr="00817CDB" w:rsidRDefault="00855CF1" w:rsidP="00855CF1">
      <w:pPr>
        <w:numPr>
          <w:ilvl w:val="0"/>
          <w:numId w:val="1"/>
        </w:numPr>
        <w:shd w:val="clear" w:color="auto" w:fill="FFFFFF"/>
        <w:spacing w:before="0" w:after="0" w:line="240" w:lineRule="auto"/>
        <w:ind w:left="480"/>
        <w:rPr>
          <w:sz w:val="28"/>
          <w:szCs w:val="28"/>
        </w:rPr>
      </w:pPr>
      <w:r w:rsidRPr="00817CDB">
        <w:rPr>
          <w:sz w:val="28"/>
          <w:szCs w:val="28"/>
        </w:rPr>
        <w:t>Федеральный </w:t>
      </w:r>
      <w:hyperlink r:id="rId8" w:tgtFrame="_blank" w:tooltip="Ссылка на КонсультантПлюс" w:history="1">
        <w:r w:rsidRPr="00817CDB">
          <w:rPr>
            <w:rStyle w:val="a5"/>
            <w:color w:val="auto"/>
            <w:sz w:val="28"/>
            <w:szCs w:val="28"/>
            <w:u w:val="none"/>
          </w:rPr>
          <w:t>стандарт</w:t>
        </w:r>
      </w:hyperlink>
      <w:r w:rsidRPr="00817CDB">
        <w:rPr>
          <w:sz w:val="28"/>
          <w:szCs w:val="28"/>
        </w:rPr>
        <w:t> бухгалтерского учета для организаций государственного сектора "Информация о связанных сторонах", утвержденный Приказом Минфина России от 30.12.2017 № 277н;</w:t>
      </w:r>
    </w:p>
    <w:p w:rsidR="00855CF1" w:rsidRPr="00817CDB" w:rsidRDefault="00855CF1" w:rsidP="00855CF1">
      <w:pPr>
        <w:numPr>
          <w:ilvl w:val="0"/>
          <w:numId w:val="1"/>
        </w:numPr>
        <w:shd w:val="clear" w:color="auto" w:fill="FFFFFF"/>
        <w:spacing w:before="0" w:after="0" w:line="240" w:lineRule="auto"/>
        <w:ind w:left="480"/>
        <w:rPr>
          <w:sz w:val="28"/>
          <w:szCs w:val="28"/>
        </w:rPr>
      </w:pPr>
      <w:r w:rsidRPr="00817CDB">
        <w:rPr>
          <w:sz w:val="28"/>
          <w:szCs w:val="28"/>
        </w:rPr>
        <w:t>Федеральный </w:t>
      </w:r>
      <w:hyperlink r:id="rId9" w:tgtFrame="_blank" w:tooltip="Ссылка на КонсультантПлюс" w:history="1">
        <w:r w:rsidRPr="00817CDB">
          <w:rPr>
            <w:rStyle w:val="a5"/>
            <w:color w:val="auto"/>
            <w:sz w:val="28"/>
            <w:szCs w:val="28"/>
            <w:u w:val="none"/>
          </w:rPr>
          <w:t>стандарт</w:t>
        </w:r>
      </w:hyperlink>
      <w:r w:rsidRPr="00817CDB">
        <w:rPr>
          <w:sz w:val="28"/>
          <w:szCs w:val="28"/>
        </w:rPr>
        <w:t> бухгалтерского учета для организаций государственного сектора "Непроизведенные активы", утвержденный Приказом Минфина России от 28.02.2018 № 34н;</w:t>
      </w:r>
    </w:p>
    <w:p w:rsidR="00855CF1" w:rsidRPr="00817CDB" w:rsidRDefault="00855CF1" w:rsidP="00855CF1">
      <w:pPr>
        <w:numPr>
          <w:ilvl w:val="0"/>
          <w:numId w:val="1"/>
        </w:numPr>
        <w:shd w:val="clear" w:color="auto" w:fill="FFFFFF"/>
        <w:spacing w:before="0" w:after="0" w:line="240" w:lineRule="auto"/>
        <w:ind w:left="480"/>
        <w:rPr>
          <w:sz w:val="28"/>
          <w:szCs w:val="28"/>
        </w:rPr>
      </w:pPr>
      <w:r w:rsidRPr="00817CDB">
        <w:rPr>
          <w:sz w:val="28"/>
          <w:szCs w:val="28"/>
        </w:rPr>
        <w:t>Федеральный </w:t>
      </w:r>
      <w:hyperlink r:id="rId10" w:tgtFrame="_blank" w:tooltip="Ссылка на КонсультантПлюс" w:history="1">
        <w:r w:rsidRPr="00817CDB">
          <w:rPr>
            <w:rStyle w:val="a5"/>
            <w:color w:val="auto"/>
            <w:sz w:val="28"/>
            <w:szCs w:val="28"/>
            <w:u w:val="none"/>
          </w:rPr>
          <w:t>стандарт</w:t>
        </w:r>
      </w:hyperlink>
      <w:r w:rsidRPr="00817CDB">
        <w:rPr>
          <w:sz w:val="28"/>
          <w:szCs w:val="28"/>
        </w:rPr>
        <w:t> бухгалтерского учета для организаций государственного сектора "Бюджетная информация в бухгалтерской (финансовой) отчетности", утвержденный Приказом Минфина России от 28.02.2018 № 37н;</w:t>
      </w:r>
    </w:p>
    <w:p w:rsidR="00855CF1" w:rsidRPr="00817CDB" w:rsidRDefault="00855CF1" w:rsidP="00855CF1">
      <w:pPr>
        <w:numPr>
          <w:ilvl w:val="0"/>
          <w:numId w:val="1"/>
        </w:numPr>
        <w:shd w:val="clear" w:color="auto" w:fill="FFFFFF"/>
        <w:spacing w:before="0" w:after="0" w:line="240" w:lineRule="auto"/>
        <w:ind w:left="480"/>
        <w:rPr>
          <w:sz w:val="28"/>
          <w:szCs w:val="28"/>
        </w:rPr>
      </w:pPr>
      <w:r w:rsidRPr="00817CDB">
        <w:rPr>
          <w:sz w:val="28"/>
          <w:szCs w:val="28"/>
        </w:rPr>
        <w:t>Федеральный </w:t>
      </w:r>
      <w:hyperlink r:id="rId11" w:tgtFrame="_blank" w:tooltip="Ссылка на КонсультантПлюс" w:history="1">
        <w:r w:rsidRPr="00817CDB">
          <w:rPr>
            <w:rStyle w:val="a5"/>
            <w:color w:val="auto"/>
            <w:sz w:val="28"/>
            <w:szCs w:val="28"/>
            <w:u w:val="none"/>
          </w:rPr>
          <w:t>стандарт</w:t>
        </w:r>
      </w:hyperlink>
      <w:r w:rsidRPr="00817CDB">
        <w:rPr>
          <w:sz w:val="28"/>
          <w:szCs w:val="28"/>
        </w:rPr>
        <w:t> бухгалтерского учета для организаций государственного сектора "Резервы. Раскрытие информации об условных</w:t>
      </w:r>
      <w:r w:rsidRPr="00817CDB">
        <w:rPr>
          <w:color w:val="000000"/>
          <w:sz w:val="28"/>
          <w:szCs w:val="28"/>
        </w:rPr>
        <w:t xml:space="preserve"> </w:t>
      </w:r>
      <w:r w:rsidRPr="00817CDB">
        <w:rPr>
          <w:sz w:val="28"/>
          <w:szCs w:val="28"/>
        </w:rPr>
        <w:lastRenderedPageBreak/>
        <w:t>обязательствах и условных активах", утвержденный Приказом Минфина России от 30.05.2018 № 124н;</w:t>
      </w:r>
    </w:p>
    <w:p w:rsidR="00855CF1" w:rsidRPr="00817CDB" w:rsidRDefault="00855CF1" w:rsidP="00855CF1">
      <w:pPr>
        <w:numPr>
          <w:ilvl w:val="0"/>
          <w:numId w:val="1"/>
        </w:numPr>
        <w:shd w:val="clear" w:color="auto" w:fill="FFFFFF"/>
        <w:spacing w:before="0" w:after="0" w:line="240" w:lineRule="auto"/>
        <w:ind w:left="480"/>
        <w:rPr>
          <w:sz w:val="28"/>
          <w:szCs w:val="28"/>
        </w:rPr>
      </w:pPr>
      <w:r w:rsidRPr="00817CDB">
        <w:rPr>
          <w:sz w:val="28"/>
          <w:szCs w:val="28"/>
        </w:rPr>
        <w:t>Федеральный </w:t>
      </w:r>
      <w:hyperlink r:id="rId12" w:tgtFrame="_blank" w:tooltip="Ссылка на КонсультантПлюс" w:history="1">
        <w:r w:rsidRPr="00817CDB">
          <w:rPr>
            <w:rStyle w:val="a5"/>
            <w:color w:val="auto"/>
            <w:sz w:val="28"/>
            <w:szCs w:val="28"/>
            <w:u w:val="none"/>
          </w:rPr>
          <w:t>стандарт</w:t>
        </w:r>
      </w:hyperlink>
      <w:r w:rsidRPr="00817CDB">
        <w:rPr>
          <w:sz w:val="28"/>
          <w:szCs w:val="28"/>
        </w:rPr>
        <w:t> бухгалтерского учета для организаций государственного сектора "Долгосрочные договоры", утвержденный Приказом Минф</w:t>
      </w:r>
      <w:r>
        <w:rPr>
          <w:sz w:val="28"/>
          <w:szCs w:val="28"/>
        </w:rPr>
        <w:t>ина России от 29.06.2018 № 145н</w:t>
      </w:r>
      <w:r w:rsidRPr="00817CDB">
        <w:rPr>
          <w:sz w:val="28"/>
          <w:szCs w:val="28"/>
        </w:rPr>
        <w:t>;</w:t>
      </w:r>
    </w:p>
    <w:p w:rsidR="00855CF1" w:rsidRPr="00817CDB" w:rsidRDefault="00855CF1" w:rsidP="00855CF1">
      <w:pPr>
        <w:numPr>
          <w:ilvl w:val="0"/>
          <w:numId w:val="1"/>
        </w:numPr>
        <w:shd w:val="clear" w:color="auto" w:fill="FFFFFF"/>
        <w:spacing w:before="0" w:after="0" w:line="240" w:lineRule="auto"/>
        <w:ind w:left="480"/>
        <w:rPr>
          <w:sz w:val="28"/>
          <w:szCs w:val="28"/>
        </w:rPr>
      </w:pPr>
      <w:r w:rsidRPr="00817CDB">
        <w:rPr>
          <w:sz w:val="28"/>
          <w:szCs w:val="28"/>
        </w:rPr>
        <w:t>Федеральный </w:t>
      </w:r>
      <w:hyperlink r:id="rId13" w:tgtFrame="_blank" w:tooltip="Ссылка на КонсультантПлюс" w:history="1">
        <w:r w:rsidRPr="00817CDB">
          <w:rPr>
            <w:rStyle w:val="a5"/>
            <w:color w:val="auto"/>
            <w:sz w:val="28"/>
            <w:szCs w:val="28"/>
            <w:u w:val="none"/>
          </w:rPr>
          <w:t>стандарт</w:t>
        </w:r>
      </w:hyperlink>
      <w:r w:rsidRPr="00817CDB">
        <w:rPr>
          <w:sz w:val="28"/>
          <w:szCs w:val="28"/>
        </w:rPr>
        <w:t> бухгалтерского учета для организаций государственного сектора "Запасы", утвержденный Приказом Минфина России от 07.12.2018 № 256н.</w:t>
      </w:r>
    </w:p>
    <w:p w:rsidR="00855CF1" w:rsidRPr="00817CDB" w:rsidRDefault="00855CF1" w:rsidP="00855CF1">
      <w:pPr>
        <w:shd w:val="clear" w:color="auto" w:fill="FFFFFF"/>
        <w:spacing w:before="0" w:after="0" w:line="240" w:lineRule="auto"/>
        <w:ind w:left="480" w:firstLine="0"/>
        <w:rPr>
          <w:color w:val="000000"/>
          <w:sz w:val="28"/>
          <w:szCs w:val="28"/>
        </w:rPr>
      </w:pPr>
    </w:p>
    <w:p w:rsidR="00855CF1" w:rsidRPr="00EC0DD5" w:rsidRDefault="00855CF1" w:rsidP="00855CF1">
      <w:pPr>
        <w:spacing w:before="0" w:after="0" w:line="2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817CDB">
        <w:rPr>
          <w:sz w:val="28"/>
          <w:szCs w:val="28"/>
        </w:rPr>
        <w:t xml:space="preserve">. </w:t>
      </w:r>
      <w:proofErr w:type="gramStart"/>
      <w:r w:rsidRPr="00817CDB">
        <w:rPr>
          <w:sz w:val="28"/>
          <w:szCs w:val="28"/>
        </w:rPr>
        <w:t>Контроль за</w:t>
      </w:r>
      <w:proofErr w:type="gramEnd"/>
      <w:r w:rsidRPr="00817CDB">
        <w:rPr>
          <w:sz w:val="28"/>
          <w:szCs w:val="28"/>
        </w:rPr>
        <w:t xml:space="preserve"> со</w:t>
      </w:r>
      <w:r>
        <w:rPr>
          <w:sz w:val="28"/>
          <w:szCs w:val="28"/>
        </w:rPr>
        <w:t>блюдением учетной политики возлагается</w:t>
      </w:r>
      <w:r w:rsidRPr="00817CDB">
        <w:rPr>
          <w:sz w:val="28"/>
          <w:szCs w:val="28"/>
        </w:rPr>
        <w:t xml:space="preserve"> на главного бухгалтера Черепанову Наталью Владимировну</w:t>
      </w:r>
      <w:r w:rsidRPr="00817CDB">
        <w:rPr>
          <w:i/>
          <w:sz w:val="28"/>
          <w:szCs w:val="28"/>
        </w:rPr>
        <w:t>.</w:t>
      </w:r>
    </w:p>
    <w:tbl>
      <w:tblPr>
        <w:tblW w:w="2828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13"/>
      </w:tblGrid>
      <w:tr w:rsidR="00855CF1" w:rsidRPr="0067035F" w:rsidTr="005943B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55CF1" w:rsidRPr="0067035F" w:rsidRDefault="00855CF1" w:rsidP="005943BF">
            <w:pPr>
              <w:spacing w:before="0" w:after="0" w:line="20" w:lineRule="atLeast"/>
              <w:rPr>
                <w:sz w:val="28"/>
                <w:szCs w:val="28"/>
              </w:rPr>
            </w:pPr>
          </w:p>
        </w:tc>
      </w:tr>
    </w:tbl>
    <w:p w:rsidR="00855CF1" w:rsidRDefault="00855CF1" w:rsidP="00855CF1">
      <w:pPr>
        <w:spacing w:before="0" w:after="0" w:line="20" w:lineRule="atLeast"/>
        <w:rPr>
          <w:sz w:val="28"/>
          <w:szCs w:val="28"/>
        </w:rPr>
      </w:pPr>
      <w:bookmarkStart w:id="4" w:name="_docEnd_1"/>
      <w:bookmarkEnd w:id="4"/>
    </w:p>
    <w:p w:rsidR="00855CF1" w:rsidRDefault="00855CF1" w:rsidP="00855CF1">
      <w:pPr>
        <w:spacing w:before="0" w:after="0" w:line="20" w:lineRule="atLeast"/>
        <w:rPr>
          <w:sz w:val="28"/>
          <w:szCs w:val="28"/>
        </w:rPr>
      </w:pPr>
    </w:p>
    <w:p w:rsidR="00855CF1" w:rsidRDefault="00855CF1" w:rsidP="00855CF1">
      <w:pPr>
        <w:spacing w:before="0"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</w:t>
      </w:r>
      <w:proofErr w:type="spellStart"/>
      <w:r>
        <w:rPr>
          <w:sz w:val="28"/>
          <w:szCs w:val="28"/>
        </w:rPr>
        <w:t>С.М.Черкашин</w:t>
      </w:r>
      <w:proofErr w:type="spellEnd"/>
    </w:p>
    <w:p w:rsidR="00855CF1" w:rsidRDefault="00855CF1" w:rsidP="00855CF1">
      <w:pPr>
        <w:spacing w:before="0" w:after="0" w:line="20" w:lineRule="atLeast"/>
        <w:rPr>
          <w:sz w:val="28"/>
          <w:szCs w:val="28"/>
        </w:rPr>
      </w:pPr>
    </w:p>
    <w:p w:rsidR="00855CF1" w:rsidRDefault="00855CF1" w:rsidP="00855CF1">
      <w:pPr>
        <w:spacing w:before="0" w:after="0" w:line="20" w:lineRule="atLeast"/>
        <w:rPr>
          <w:sz w:val="28"/>
          <w:szCs w:val="28"/>
        </w:rPr>
      </w:pPr>
    </w:p>
    <w:p w:rsidR="0054236A" w:rsidRDefault="0054236A"/>
    <w:sectPr w:rsidR="0054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A94"/>
    <w:multiLevelType w:val="multilevel"/>
    <w:tmpl w:val="E35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56A3A"/>
    <w:multiLevelType w:val="hybridMultilevel"/>
    <w:tmpl w:val="AB6CC4C8"/>
    <w:lvl w:ilvl="0" w:tplc="2724F334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C7"/>
    <w:rsid w:val="00395DC7"/>
    <w:rsid w:val="0054236A"/>
    <w:rsid w:val="008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1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55CF1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55CF1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Hyperlink"/>
    <w:unhideWhenUsed/>
    <w:rsid w:val="00855C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1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55CF1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55CF1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Hyperlink"/>
    <w:unhideWhenUsed/>
    <w:rsid w:val="00855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ef=9D8161AA42813FF2C5CEF20345109A18045E915A4D486592BF0D91A3DD55F1698951AD87C989255BD5FBE09DC5059E654393C4422B6702763792395C742FD69E8FDD4C43BB2402B726F43A412BD403E6C2A4E60AF36CdFRFM" TargetMode="External"/><Relationship Id="rId13" Type="http://schemas.openxmlformats.org/officeDocument/2006/relationships/hyperlink" Target="https://ovmf2.consultant.ru/cgi/online.cgi?ref=9D8161AA42813FF2C5CEF20345109A18045E915A4D486592BF0D91A3DD55F1698951AD87C989255BD5FAE890CA0099654393C4422B6702763792395C742FD69E8FDD4C43BB2402B726F43A412BD403E6C2A4E60AF36CdFR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12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AE996C40691654393C4422B6702763792395C742FD69E8ED84C4BBB23d1R3M" TargetMode="External"/><Relationship Id="rId11" Type="http://schemas.openxmlformats.org/officeDocument/2006/relationships/hyperlink" Target="https://ovmf2.consultant.ru/cgi/online.cgi?ref=9D8161AA42813FF2C5CEF20345109A18045E915A4D486592BF0D91A3DD55F1698951AD87C989255BD5FAE994C6039C654393C4422B6702763792395C742FD69E8FDD4C43BB2402B726F43A412BD403E6C2A4E60AF36CdFR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vmf2.consultant.ru/cgi/online.cgi?ref=9D8161AA42813FF2C5CEF20345109A18045E915A4D486592BF0D91A3DD55F1698951AD87C989255BD5FBE09DC5059F654393C4422B6702763792395C742FD69E8FDD4C43BB2402B726F43A412BD403E6C2A4E60AF36CdFR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vmf2.consultant.ru/cgi/online.cgi?ref=9D8161AA42813FF2C5CEF20345109A18045E915A4D486592BF0D91A3DD55F1698951AD87C989255BD5FBE09DC70590654393C4422B6702763792395C742FD69E8FDD4C43BB2402B726F43A412BD403E6C2A4E60AF36CdFR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2020-01-13T05:09:00Z</dcterms:created>
  <dcterms:modified xsi:type="dcterms:W3CDTF">2020-01-13T05:10:00Z</dcterms:modified>
</cp:coreProperties>
</file>